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b/>
          <w:sz w:val="40"/>
        </w:rPr>
        <w:t>재산조회신청서</w:t>
      </w:r>
    </w:p>
    <w:p>
      <w:r>
        <w:rPr>
          <w:b w:val="0"/>
        </w:rPr>
      </w:r>
    </w:p>
    <w:p>
      <w:r>
        <w:rPr>
          <w:b w:val="0"/>
        </w:rPr>
        <w:t>채  권  자  홍길동</w:t>
      </w:r>
    </w:p>
    <w:p>
      <w:r>
        <w:rPr>
          <w:b w:val="0"/>
        </w:rPr>
        <w:t xml:space="preserve">           주소  전화 010-0000-0000</w:t>
      </w:r>
    </w:p>
    <w:p>
      <w:r>
        <w:rPr>
          <w:b w:val="0"/>
        </w:rPr>
        <w:t>채  무  자  김철수  (주민등록번호)</w:t>
      </w:r>
    </w:p>
    <w:p>
      <w:r>
        <w:rPr>
          <w:b w:val="0"/>
        </w:rPr>
        <w:t xml:space="preserve">           주소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집행권원의 표시</w:t>
      </w:r>
    </w:p>
    <w:p>
      <w:r>
        <w:rPr>
          <w:b w:val="0"/>
        </w:rPr>
        <w:t>○○지방법원 2026가소000000 대여금 판결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재산명시 사건</w:t>
      </w:r>
    </w:p>
    <w:p>
      <w:r>
        <w:rPr>
          <w:b w:val="0"/>
        </w:rPr>
        <w:t>○○지방법원 2026카명000 재산명시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조회 대상 기관과 조회할 재산</w:t>
      </w:r>
    </w:p>
    <w:p>
      <w:r>
        <w:rPr>
          <w:b w:val="0"/>
        </w:rPr>
        <w:t>1. 토지·건물 소유권 – 법원행정처</w:t>
      </w:r>
    </w:p>
    <w:p>
      <w:r>
        <w:rPr>
          <w:b w:val="0"/>
        </w:rPr>
        <w:t>2. 자동차·건설기계 – 국토교통부</w:t>
      </w:r>
    </w:p>
    <w:p>
      <w:r>
        <w:rPr>
          <w:b w:val="0"/>
        </w:rPr>
        <w:t>3. 예금 등 금융자산 – 별지 기재 금융기관</w:t>
      </w:r>
    </w:p>
    <w:p>
      <w:r>
        <w:rPr>
          <w:b w:val="0"/>
        </w:rPr>
        <w:t>4. 그 밖에 채권자가 지정하는 기관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신 청 사 유</w:t>
      </w:r>
    </w:p>
    <w:p>
      <w:r>
        <w:rPr>
          <w:b w:val="0"/>
        </w:rPr>
        <w:t>민사집행법 제74조 제1항 제1호 재산명시절차에서 채무자가 제출한 재산목록의 재산만으로는 집행채권을 만족하기에 부족합니다.</w:t>
      </w:r>
    </w:p>
    <w:p>
      <w:r>
        <w:rPr>
          <w:b w:val="0"/>
        </w:rPr>
        <w:t>(또는 제2호 채무자가 재산명시기일 출석, 재산목록 제출, 선서를 거부하였습니다.)</w:t>
      </w:r>
    </w:p>
    <w:p>
      <w:r>
        <w:rPr>
          <w:b w:val="0"/>
        </w:rPr>
      </w:r>
    </w:p>
    <w:p>
      <w:pPr>
        <w:jc w:val="right"/>
      </w:pPr>
      <w:r>
        <w:rPr>
          <w:b w:val="0"/>
        </w:rPr>
        <w:t>2026. ○. ○.</w:t>
      </w:r>
    </w:p>
    <w:p>
      <w:pPr>
        <w:jc w:val="right"/>
      </w:pPr>
      <w:r>
        <w:rPr>
          <w:b w:val="0"/>
        </w:rPr>
        <w:t>채권자  홍길동  (서명 또는 날인)</w:t>
      </w:r>
    </w:p>
    <w:p>
      <w:r>
        <w:rPr>
          <w:b w:val="0"/>
        </w:rPr>
      </w:r>
    </w:p>
    <w:p>
      <w:r>
        <w:rPr>
          <w:b w:val="0"/>
        </w:rPr>
        <w:t>○○지방법원 귀중</w:t>
      </w:r>
    </w:p>
    <w:sectPr w:rsidR="00FC693F" w:rsidRPr="0006063C" w:rsidSect="00034616">
      <w:pgSz w:w="11906" w:h="16838"/>
      <w:pgMar w:top="1701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84" w:lineRule="auto" w:after="0"/>
    </w:pPr>
    <w:rPr>
      <w:rFonts w:ascii="맑은 고딕" w:hAnsi="맑은 고딕" w:eastAsia="맑은 고딕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재산조회신청서</dc:title>
  <dc:subject/>
  <dc:creator>로페이퍼(LawPaper)</dc:creator>
  <cp:keywords/>
  <dc:description>로페이퍼 서식 – https://lawpaper.co.kr/forms/property-inquiry/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