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부동산처분금지가처분신청서</w:t>
      </w:r>
    </w:p>
    <w:p>
      <w:r>
        <w:rPr>
          <w:b w:val="0"/>
        </w:rPr>
      </w:r>
    </w:p>
    <w:p>
      <w:r>
        <w:rPr>
          <w:b w:val="0"/>
        </w:rPr>
        <w:t>채  권  자  홍길동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  <w:t>채  무  자  김철수</w:t>
      </w:r>
    </w:p>
    <w:p>
      <w:r>
        <w:rPr>
          <w:b w:val="0"/>
        </w:rPr>
        <w:t xml:space="preserve">           주소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목적물의 가액</w:t>
      </w:r>
    </w:p>
    <w:p>
      <w:r>
        <w:rPr>
          <w:b w:val="0"/>
        </w:rPr>
        <w:t>금 ○○○,○○○,○○○원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피보전권리의 요지</w:t>
      </w:r>
    </w:p>
    <w:p>
      <w:r>
        <w:rPr>
          <w:b w:val="0"/>
        </w:rPr>
        <w:t>2026. 3. 2. 매매를 원인으로 한 소유권이전등기청구권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목적물의 표시</w:t>
      </w:r>
    </w:p>
    <w:p>
      <w:r>
        <w:rPr>
          <w:b w:val="0"/>
        </w:rPr>
        <w:t>별지 목록 기재와 같음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취 지</w:t>
      </w:r>
    </w:p>
    <w:p>
      <w:r>
        <w:rPr>
          <w:b w:val="0"/>
        </w:rPr>
        <w:t>채무자는 별지 목록 기재 부동산에 대하여 매매, 증여, 전세권·저당권·임차권의 설정, 그 밖에 일체의 처분행위를 하여서는 아니 된다.</w:t>
      </w:r>
    </w:p>
    <w:p>
      <w:r>
        <w:rPr>
          <w:b w:val="0"/>
        </w:rPr>
        <w:t>라는 결정을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이 유</w:t>
      </w:r>
    </w:p>
    <w:p>
      <w:r>
        <w:rPr>
          <w:b w:val="0"/>
        </w:rPr>
        <w:t>1. 피보전권리</w:t>
      </w:r>
    </w:p>
    <w:p>
      <w:r>
        <w:rPr>
          <w:b w:val="0"/>
        </w:rPr>
        <w:t>채권자는 2026. 3. 2. 채무자로부터 별지 부동산을 대금 ○○○원에 매수하고(소갑 제1호증 매매계약서), 2026. 4. 30.까지 대금 전액을 지급하였습니다(소갑 제2호증 계좌이체 내역). 따라서 채권자는 채무자에게 위 부동산에 관한 소유권이전등기청구권이 있습니다.</w:t>
      </w:r>
    </w:p>
    <w:p>
      <w:r>
        <w:rPr>
          <w:b w:val="0"/>
        </w:rPr>
        <w:t>2. 보전의 필요성</w:t>
      </w:r>
    </w:p>
    <w:p>
      <w:r>
        <w:rPr>
          <w:b w:val="0"/>
        </w:rPr>
        <w:t>그런데 채무자는 잔금 수령 후 시세가 올랐다며 등기 이전을 거부하고, 다른 사람과 매매를 협의하고 있습니다(소갑 제3호증 문자메시지). 채무자가 제3자에게 처분하면 채권자는 본안에서 이기더라도 등기를 넘겨받을 수 없게 됩니다.</w:t>
      </w:r>
    </w:p>
    <w:p>
      <w:r>
        <w:rPr>
          <w:b w:val="0"/>
        </w:rPr>
        <w:t>3. 담보제공</w:t>
      </w:r>
    </w:p>
    <w:p>
      <w:r>
        <w:rPr>
          <w:b w:val="0"/>
        </w:rPr>
        <w:t>담보는 공탁보증보험증권으로 제공할 수 있도록 허가하여 주시기 바랍니다.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소 명 방 법</w:t>
      </w:r>
    </w:p>
    <w:p>
      <w:r>
        <w:rPr>
          <w:b w:val="0"/>
        </w:rPr>
        <w:t>1. 소갑 제1호증  매매계약서</w:t>
      </w:r>
    </w:p>
    <w:p>
      <w:r>
        <w:rPr>
          <w:b w:val="0"/>
        </w:rPr>
        <w:t>2. 소갑 제2호증  계좌이체 내역</w:t>
      </w:r>
    </w:p>
    <w:p>
      <w:r>
        <w:rPr>
          <w:b w:val="0"/>
        </w:rPr>
        <w:t>3. 소갑 제3호증  문자메시지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채권자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별지  부동산의 표시</w:t>
      </w:r>
    </w:p>
    <w:p>
      <w:r>
        <w:rPr>
          <w:b w:val="0"/>
        </w:rPr>
        <w:t>등기사항증명서 표제부 기재대로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부동산처분금지가처분신청서</dc:title>
  <dc:subject/>
  <dc:creator>로페이퍼(LawPaper)</dc:creator>
  <cp:keywords/>
  <dc:description>로페이퍼 서식 – https://lawpaper.co.kr/forms/injunction-disposal/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