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채무불이행자명부 등재신청서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  (주민등록번호)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집행권원의 표시</w:t>
      </w:r>
    </w:p>
    <w:p>
      <w:r>
        <w:rPr>
          <w:b w:val="0"/>
        </w:rPr>
        <w:t>○○지방법원 2026가소000000 대여금 판결(2026. ○. ○. 확정)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채무자가 이행하지 아니하는 금전채무액</w:t>
      </w:r>
    </w:p>
    <w:p>
      <w:r>
        <w:rPr>
          <w:b w:val="0"/>
        </w:rPr>
        <w:t>금 10,000,000원 및 이에 대한 지연손해금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채무자를 채무불이행자명부에 등재한다.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채무자는 위 집행권원이 확정된 후 6개월이 지나도록 채무를 이행하지 않고 있으므로, 민사집행법 제70조 제1항 제1호에 따라 이 신청을 합니다.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채무불이행자명부 등재신청서</dc:title>
  <dc:subject/>
  <dc:creator>로페이퍼(LawPaper)</dc:creator>
  <cp:keywords/>
  <dc:description>로페이퍼 서식 – https://lawpaper.co.kr/forms/defaulter-list/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