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부동산강제경매신청서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청구금액</w:t>
      </w:r>
    </w:p>
    <w:p>
      <w:r>
        <w:rPr>
          <w:b w:val="0"/>
        </w:rPr>
        <w:t>금 ○○,○○○,○○○원 및 이에 대한 2025. 9. 2.부터 다 갚는 날까지 연 12%의 비율로 계산한 돈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경매할 부동산의 표시</w:t>
      </w:r>
    </w:p>
    <w:p>
      <w:r>
        <w:rPr>
          <w:b w:val="0"/>
        </w:rPr>
        <w:t>별지 목록 기재와 같음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경매의 원인이 된 채권과 집행할 수 있는 집행권원</w:t>
      </w:r>
    </w:p>
    <w:p>
      <w:r>
        <w:rPr>
          <w:b w:val="0"/>
        </w:rPr>
        <w:t>채무자는 채권자에게 ○○지방법원 2026가단000000 대여금 사건의 집행력 있는 판결 정본에 기하여 위 청구금액을 지급하여야 하는데 이를 이행하지 않으므로, 위 부동산에 대한 강제경매절차를 개시하여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별지 목록 기재 부동산에 대하여 강제경매절차를 개시하고 채권자를 위하여 이를 압류한다.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집행력 있는 판결 정본    1통</w:t>
      </w:r>
    </w:p>
    <w:p>
      <w:r>
        <w:rPr>
          <w:b w:val="0"/>
        </w:rPr>
        <w:t>2. 송달증명원              1통</w:t>
      </w:r>
    </w:p>
    <w:p>
      <w:r>
        <w:rPr>
          <w:b w:val="0"/>
        </w:rPr>
        <w:t>3. 부동산 등기사항증명서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부동산의 표시</w:t>
      </w:r>
    </w:p>
    <w:p>
      <w:r>
        <w:rPr>
          <w:b w:val="0"/>
        </w:rPr>
        <w:t>등기사항증명서 표제부 기재대로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부동산강제경매신청서</dc:title>
  <dc:subject/>
  <dc:creator>로페이퍼(LawPaper)</dc:creator>
  <cp:keywords/>
  <dc:description>로페이퍼 서식 – https://lawpaper.co.kr/forms/auction/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